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hanging="45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2022-23 Escuela Primaria de East Smiths Station </w:t>
      </w:r>
    </w:p>
    <w:p w:rsidR="00000000" w:rsidDel="00000000" w:rsidP="00000000" w:rsidRDefault="00000000" w:rsidRPr="00000000" w14:paraId="00000002">
      <w:pPr>
        <w:ind w:left="-360" w:hanging="45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Mejora Continua de Alabama (ACIP) de un Vistazo</w:t>
      </w:r>
    </w:p>
    <w:p w:rsidR="00000000" w:rsidDel="00000000" w:rsidP="00000000" w:rsidRDefault="00000000" w:rsidRPr="00000000" w14:paraId="00000003">
      <w:pPr>
        <w:ind w:left="-360" w:hanging="45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014413" cy="9827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82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Visión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Imaginamos una escuela que promueva la pasión por el aprendizaje de los estudiantes, apoye a los maestros, los padres y la comunidad, y produzca aprendices comprometidos y de por vida..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Misión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La misión de East Smiths Station Elementary School es desafiar a cada estudiante a perseguir sueños, tener éxito con integridad y contribuir significativamente a una sociedad diversa.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color w:val="1e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Creencias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spacing w:line="240" w:lineRule="auto"/>
        <w:ind w:left="720" w:firstLine="360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Todos los niños son individuos valiosos que pueden aprender.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line="240" w:lineRule="auto"/>
        <w:ind w:left="720" w:firstLine="360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La educación de cada estudiante es una responsabilidad compartida por los estudiantes, las familias, las escuelas y las comunidades.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240" w:lineRule="auto"/>
        <w:ind w:left="720" w:firstLine="360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Cada individuo logra lo mejor en un entorno donde la seguridad física y emocional está garantizada.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spacing w:line="240" w:lineRule="auto"/>
        <w:ind w:left="720" w:firstLine="360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La integridad personal es esencial para el éxito individual.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spacing w:line="240" w:lineRule="auto"/>
        <w:ind w:left="720" w:firstLine="360"/>
        <w:rPr>
          <w:color w:val="1e1e1f"/>
          <w:sz w:val="20"/>
          <w:szCs w:val="20"/>
        </w:rPr>
      </w:pPr>
      <w:r w:rsidDel="00000000" w:rsidR="00000000" w:rsidRPr="00000000">
        <w:rPr>
          <w:color w:val="1e1e1f"/>
          <w:sz w:val="20"/>
          <w:szCs w:val="20"/>
          <w:rtl w:val="0"/>
        </w:rPr>
        <w:t xml:space="preserve">El aprendizaje es un esfuerzo de toda la vida.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rPr>
          <w:color w:val="1e1e1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855"/>
        <w:tblGridChange w:id="0">
          <w:tblGrid>
            <w:gridCol w:w="945"/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b45f06"/>
                <w:sz w:val="20"/>
                <w:szCs w:val="20"/>
                <w:rtl w:val="0"/>
              </w:rPr>
              <w:t xml:space="preserve">Objetivo de Éxito Estudiantil</w:t>
            </w: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Estudiantes graduados listos para la universidad y la carrera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Iniciativa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b45f06"/>
                <w:rtl w:val="0"/>
              </w:rPr>
              <w:t xml:space="preserve">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Utilizar estrategias basadas en la evidencia y analizar los resultados de aprendizaje de los estudiantes para aumentar el rendimiento estudiantil para todos los estudiantes (SS 1.1, SS 1.2)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la evaluación (todos los estudiantes)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Evidencia de planificación colaborativa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de visitas de mejora escolar / notas informativas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Notas de la reunión de datos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maestros diseñarán e implementarán estratégicamente la instrucción que involucre activa y cognitivamente a los estudiantes, desarrolle un aprendizaje relevante y riguroso y garantice que todos los estudiantes aprendan.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maestros tomarán y ajustarán las decisiones de instrucción basadas en la evidencia del aprendizaje de los estudiantes.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estudiantes demostrarán un mejor desempeño en todas las medidas de preparación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 menos el 62.8% de los estudiantes serán competentes en ELA en la evaluación sumativa de ACAP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 menos el 47.2% de los estudiantes serán competentes en matemáticas en la evaluación sumativa de ACAP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Participar en la planificación colaborativa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Llevar a cabo reuniones de datos estructurados para descubrir fortalezas en el aprendizaje, áreas de mejora y próximos pasos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la enseñanza estratégica en todas las clases en cada lección con un enfoque en los objetivos de aprendizaje, los criterios de éxito y la evaluación formativa (enfoque del distrito y problema de práctica de la escuela)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Iniciativa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b45f06"/>
                <w:rtl w:val="0"/>
              </w:rPr>
              <w:t xml:space="preserve">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Reducir las brechas de rendimiento y oportunidades para los estudiantes (SS 2.1, SS 2.2, SS 2.3)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académicos (subgrupos)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no académicos (subgrupos)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Notas de la reunión de datos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will ensure each student learns every chance and every day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students will demonstrate better performance on all readiness measures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b45f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Participar en las reuniones de datos estructurados del distrito para descubrir dónde existen brechas de rendimiento y determinar si las brechas se están cerrando al desglosar los datos académicos y no académicos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programas de aprendizaje después de la escuela para proporcionar oportunidades de intervención sistemática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programas de aprendizaje de verano para proporcionar intervenciones sistemáticas y oportunidades de enriquecimiento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intervenciones específicas a los estudiantes que demuestren la necesidad y las oportunidades de enriquecimiento a través de tutores contratados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Citas de Éxito Estudiantil: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Using Student Achievement Data to Support Instructional Decision Making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Hamilton, L.; Halverson, R.; Jackson, S.S.; Mandinach, E.; Supovitz, J. A.; &amp; Wayman, J. C. (2009)</w:t>
      </w:r>
    </w:p>
    <w:p w:rsidR="00000000" w:rsidDel="00000000" w:rsidP="00000000" w:rsidRDefault="00000000" w:rsidRPr="00000000" w14:paraId="00000049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John Hattie’s Visible Learning Ranking of Influence on Student Achievement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4B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Alabama Office of School Improvement Equity Resources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4D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School Practices to Address Student Learning Loss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Allensworth, E., &amp; Schwartz, N.  (2020, June) </w:t>
      </w:r>
    </w:p>
    <w:p w:rsidR="00000000" w:rsidDel="00000000" w:rsidP="00000000" w:rsidRDefault="00000000" w:rsidRPr="00000000" w14:paraId="00000050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Getting to Work on Summer Learning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Schwartz, H.L., McCombs, J.S., Augustine, C.H., &amp; Leschitz, J.T. (2018)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855"/>
        <w:tblGridChange w:id="0">
          <w:tblGrid>
            <w:gridCol w:w="945"/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7f6000"/>
                <w:sz w:val="20"/>
                <w:szCs w:val="20"/>
                <w:rtl w:val="0"/>
              </w:rPr>
              <w:t xml:space="preserve">Objetivo de Recursos Humanos</w:t>
            </w: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Desarrollar y retener profesionales que sean efectivos en el logro de nuestra misión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7f6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Iniciativa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7f6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programas de tutoría basados en la escuela y en todo el distrito para nuevos empleados certificados y empleados actuales que necesitan apoyo (HR 3.2)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del Programa de Mentores / Agendas de Reuniones / Notas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7f6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Todos los nuevos maestros y maestros que necesiten apoyo recibirán la ayuda y la tutoría necesarias para tener éxito.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color w:val="7f6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un programa de tutoría para nuevos maestros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ciclos de coaching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color w:val="7f6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Iniciativa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7f6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aprendizaje profesional específico y apoyos integrados en el trabajo (HR 3.4, SS 1.2)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de aprendizaje profesional / agendas / hojas de registro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Tasa de deserción de empleados certificados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la encuesta de salida de empleados certificados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color w:val="7f6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Todo el personal estará equipado con el conocimiento del contenido y las habilidades de enseñanza para abordar las necesidades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7f6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6000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a los profesores apoyos de aprendizaje profesional integrados en el trabajo sobre la planificación colaborativa y los procesos de reunión de datos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Cambiar el aprendizaje profesional del distrito en la enseñanza estratégica con un enfoque en los objetivos de aprendizaje, los criterios de éxito y la evaluación formativa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a los maestros aprendizaje profesional sobre el ALCOS de ELA, Matemáticas y Alfabetización Digital y Ciencias de la Computación (DLCS)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a los profesores un aprendizaje profesional en los currículos de StudySync y Step up to Writing ELA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Citas de Recursos Humanos:</w:t>
      </w:r>
    </w:p>
    <w:p w:rsidR="00000000" w:rsidDel="00000000" w:rsidP="00000000" w:rsidRDefault="00000000" w:rsidRPr="00000000" w14:paraId="00000078">
      <w:pPr>
        <w:rPr>
          <w:b w:val="1"/>
          <w:sz w:val="10"/>
          <w:szCs w:val="10"/>
        </w:rPr>
      </w:pP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Alabama Office of School Improvement Coaching Community Resource Page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855"/>
        <w:tblGridChange w:id="0">
          <w:tblGrid>
            <w:gridCol w:w="945"/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660000"/>
                <w:sz w:val="20"/>
                <w:szCs w:val="20"/>
                <w:rtl w:val="0"/>
              </w:rPr>
              <w:t xml:space="preserve">Objetivo del Entorno de Aprendizaje</w:t>
            </w: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Proporcionar entornos seguros, de apoyo y equitativos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color w:val="660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660000"/>
                <w:rtl w:val="0"/>
              </w:rPr>
              <w:t xml:space="preserve">Iniciativa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660000"/>
                <w:rtl w:val="0"/>
              </w:rPr>
              <w:t xml:space="preserve">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color w:val="660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Monitorear el ausentismo crónico, analizar datos y actuar sobre los resultados (LE 2.1)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de ausentismo crónico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estudiantes en riesgo de ausentismo crónico, fracaso y / o deserción escolar serán identificados temprano y recibirán intervenciones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1e1e1f"/>
                <w:sz w:val="20"/>
                <w:szCs w:val="20"/>
              </w:rPr>
            </w:pPr>
            <w:r w:rsidDel="00000000" w:rsidR="00000000" w:rsidRPr="00000000">
              <w:rPr>
                <w:color w:val="1e1e1f"/>
                <w:sz w:val="20"/>
                <w:szCs w:val="20"/>
                <w:rtl w:val="0"/>
              </w:rPr>
              <w:t xml:space="preserve">Desarrollar conciencia sobre el impacto de las ausencias en el rendimiento de los maestros, las familias y los estudiantes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1e1e1f"/>
                <w:sz w:val="20"/>
                <w:szCs w:val="20"/>
              </w:rPr>
            </w:pPr>
            <w:r w:rsidDel="00000000" w:rsidR="00000000" w:rsidRPr="00000000">
              <w:rPr>
                <w:color w:val="1e1e1f"/>
                <w:sz w:val="20"/>
                <w:szCs w:val="20"/>
                <w:rtl w:val="0"/>
              </w:rPr>
              <w:t xml:space="preserve">Monitorear y actuar con frecuencia sobre los datos de ausencia (excusados e inexcusados)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1e1e1f"/>
                <w:sz w:val="20"/>
                <w:szCs w:val="20"/>
              </w:rPr>
            </w:pPr>
            <w:r w:rsidDel="00000000" w:rsidR="00000000" w:rsidRPr="00000000">
              <w:rPr>
                <w:color w:val="1e1e1f"/>
                <w:sz w:val="20"/>
                <w:szCs w:val="20"/>
                <w:rtl w:val="0"/>
              </w:rPr>
              <w:t xml:space="preserve">Reconocer e incentivar una asistencia buena y mejorada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1e1e1f"/>
                <w:sz w:val="20"/>
                <w:szCs w:val="20"/>
              </w:rPr>
            </w:pPr>
            <w:r w:rsidDel="00000000" w:rsidR="00000000" w:rsidRPr="00000000">
              <w:rPr>
                <w:color w:val="1e1e1f"/>
                <w:sz w:val="20"/>
                <w:szCs w:val="20"/>
                <w:rtl w:val="0"/>
              </w:rPr>
              <w:t xml:space="preserve">Implementar una nueva política de asistencia distrital</w:t>
            </w:r>
          </w:p>
        </w:tc>
      </w:tr>
    </w:tbl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color w:val="660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660000"/>
                <w:rtl w:val="0"/>
              </w:rPr>
              <w:t xml:space="preserve">Iniciativa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660000"/>
                <w:rtl w:val="0"/>
              </w:rPr>
              <w:t xml:space="preserve">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color w:val="660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Promover el uso de métodos de gestión del aula y aprendizaje social y emocional basados en la evidencia y monitorear los datos de incidentes de los estudiantes (LE 2.2, LE 2.3)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de incidentes de estudiantes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Todos los estudiantes se sentirán seguros en la escuela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0000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programas de Intervenciones y Apoyos Conductuales Positivos (PBIS)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Monitorear y actuar con frecuencia sobre los datos de incidentes de los estudiantes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el programa de intervención de aprendizaje social y emocional de Rhithm para la autorregulación y el bienestar de los estudiantes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Citas del Entorno de Aprendizaje: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Attendance Works: Advancing Student Success by Reducing Chronic Absence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9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Attendance Playbook: Smart Strategies for Reducing Chronic Absenteeism in the COVID Era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9E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Alabama Positive Behavior Support Overview and Awareness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</w:p>
    <w:p w:rsidR="00000000" w:rsidDel="00000000" w:rsidP="00000000" w:rsidRDefault="00000000" w:rsidRPr="00000000" w14:paraId="000000A0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Alabama Office of School Improvement Social Emotional Resources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855"/>
        <w:tblGridChange w:id="0">
          <w:tblGrid>
            <w:gridCol w:w="945"/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0c343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c343d"/>
                <w:sz w:val="20"/>
                <w:szCs w:val="20"/>
                <w:rtl w:val="0"/>
              </w:rPr>
              <w:t xml:space="preserve">Objetivo Comunicación y Cultura</w:t>
            </w: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b45f0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Comunicarse con los empleados y la comunidad para informar, involucrar y fomentar una cultura de compromiso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color w:val="0c343d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Iniciativa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0c343d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Ampliar las estrategias y procesos de comunicación interna y externa para informar e involucrar a los empleados y a la comunidad (CC 1.1, CC 2.1, CC 2.2)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Boletines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 de la reunión de la facultad / agendas / hojas de 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Resultados Previstos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empleados, las familias, los miembros de la comunidad y otras partes interesadas serán informados de inmediato sobre la información, los eventos y los éxitos pertinentes de la escuela.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Comunicar regularmente información con la facultad y el personal a través de reuniones y boletines mensuales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Utilice las plataformas de redes sociales, el sitio web de la escuela y las plataformas del portal para padres para comunicar actualizaciones, eventos y éxitos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Crear y difundir un boletín escolar mensual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Difundir el boletín del distrito de The County Line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Difundir el boletín del Instituto de Padres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color w:val="0c343d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Iniciativa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color w:val="0c343d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Medidas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Demostrar un compromiso para fomentar una cultura positiva, acogedora y colaborativa entre padres, empleados y estudiantes (CC 3.1, CC 3.2)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Calendario de Eventos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la encuesta estudiantil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la encuesta de maestros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la encuesta para padres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Resultados Previstos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Todas las familias tendrán la oportunidad de participar activamente y apoyar la escuela de sus hijos.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Todos los empleados demostrarán un compromiso para fomentar una cultura escolar positiva, acogedora y colaborativa.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color w:val="66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c343d"/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oportunidades para eventos de participación familiar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Implementar estrategias dirigidas a la cultura escolar / moral de los empleados (por ejemplo, Sunshine Committee)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Citas de Comunicación y Cultura:</w:t>
      </w:r>
    </w:p>
    <w:p w:rsidR="00000000" w:rsidDel="00000000" w:rsidP="00000000" w:rsidRDefault="00000000" w:rsidRPr="00000000" w14:paraId="000000CE">
      <w:pPr>
        <w:rPr>
          <w:b w:val="1"/>
          <w:sz w:val="8"/>
          <w:szCs w:val="8"/>
        </w:rPr>
      </w:pP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 National Center on Safe Supportive Learning</w:t>
        </w:r>
      </w:hyperlink>
      <w:r w:rsidDel="00000000" w:rsidR="00000000" w:rsidRPr="00000000">
        <w:rPr>
          <w:sz w:val="18"/>
          <w:szCs w:val="18"/>
          <w:rtl w:val="0"/>
        </w:rPr>
        <w:t xml:space="preserve"> (Haga clic para acceder al enlace)</w:t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jc w:val="center"/>
      <w:rPr>
        <w:b w:val="1"/>
        <w:color w:val="99000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1e1e1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1e1e1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and.org/pubs/research_reports/RR366-1.html" TargetMode="External"/><Relationship Id="rId10" Type="http://schemas.openxmlformats.org/officeDocument/2006/relationships/hyperlink" Target="https://consortium.uchicago.edu/publications/school-practices-to-address-student-learning-loss" TargetMode="External"/><Relationship Id="rId13" Type="http://schemas.openxmlformats.org/officeDocument/2006/relationships/hyperlink" Target="https://www.attendanceworks.org/" TargetMode="External"/><Relationship Id="rId12" Type="http://schemas.openxmlformats.org/officeDocument/2006/relationships/hyperlink" Target="https://docs.google.com/document/d/1PnVhe1yvSGr9XMl_kWqtVAITIJmQSfzuXDdVW7XcqFU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40RvGbbtnk5LsP3gQBE75al8ldfnEilZ" TargetMode="External"/><Relationship Id="rId15" Type="http://schemas.openxmlformats.org/officeDocument/2006/relationships/hyperlink" Target="https://www.alabamaachieves.org/wp-content/uploads/2021/04/ALSDE-PBIS-Awareness-pwr-pt.pdf" TargetMode="External"/><Relationship Id="rId14" Type="http://schemas.openxmlformats.org/officeDocument/2006/relationships/hyperlink" Target="https://consortium.uchicago.edu/publications/school-practices-to-address-student-learning-loss" TargetMode="External"/><Relationship Id="rId17" Type="http://schemas.openxmlformats.org/officeDocument/2006/relationships/hyperlink" Target="https://safesupportivelearning.ed.gov/" TargetMode="External"/><Relationship Id="rId16" Type="http://schemas.openxmlformats.org/officeDocument/2006/relationships/hyperlink" Target="https://drive.google.com/drive/folders/1pieqSURbM7dSLSA5XPBSSuH7PoEkw-fH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hyperlink" Target="https://repository.upenn.edu/cgi/viewcontent.cgi?article=1298&amp;context=gse_pubs" TargetMode="External"/><Relationship Id="rId8" Type="http://schemas.openxmlformats.org/officeDocument/2006/relationships/hyperlink" Target="https://visible-learning.org/wp-content/uploads/2018/03/VLPLUS-252-Influences-Hattie-ranking-DEC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